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SW-561                   </w:t>
        <w:tab/>
        <w:t xml:space="preserve">Community Organization and Development      </w:t>
        <w:tab/>
        <w:t xml:space="preserve">03 Credit Hours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both"/>
        <w:rPr>
          <w:b w:val="1"/>
          <w:color w:val="0d0d0d"/>
        </w:rPr>
      </w:pPr>
      <w:r w:rsidDel="00000000" w:rsidR="00000000" w:rsidRPr="00000000">
        <w:rPr>
          <w:color w:val="0d0d0d"/>
          <w:rtl w:val="0"/>
        </w:rPr>
        <w:t xml:space="preserve">                                </w:t>
      </w:r>
      <w:r w:rsidDel="00000000" w:rsidR="00000000" w:rsidRPr="00000000">
        <w:rPr>
          <w:b w:val="1"/>
          <w:color w:val="0d0d0d"/>
          <w:rtl w:val="0"/>
        </w:rPr>
        <w:tab/>
        <w:t xml:space="preserve">(General Course)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60" w:lineRule="auto"/>
        <w:jc w:val="both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 This course introduces students to the theories, principles, and practices of community organization and development. Through a combination of theoretical study, case analysis, and practical application, students will explore strategies for fostering sustainable community development and empowering local communities.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</w:rPr>
      </w:pPr>
      <w:bookmarkStart w:colFirst="0" w:colLast="0" w:name="_vk0eh572uypk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Learning Objectives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helps students, understand about community and types of community.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Concept of community organization and community development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enables students, learn about objectives, principles, approaches, and history of community development.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Course Contents</w:t>
      </w:r>
    </w:p>
    <w:p w:rsidR="00000000" w:rsidDel="00000000" w:rsidP="00000000" w:rsidRDefault="00000000" w:rsidRPr="00000000" w14:paraId="00000009">
      <w:pPr>
        <w:shd w:fill="ffffff" w:val="clear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Definitions and explanation of community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Essentials and elements of community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Types of community</w:t>
      </w:r>
    </w:p>
    <w:p w:rsidR="00000000" w:rsidDel="00000000" w:rsidP="00000000" w:rsidRDefault="00000000" w:rsidRPr="00000000" w14:paraId="0000000D">
      <w:pPr>
        <w:shd w:fill="ffffff" w:val="clear"/>
        <w:ind w:left="4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 Organization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Definitions and purpose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Types of community organization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Community Mobilization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Mobilization Process</w:t>
      </w:r>
    </w:p>
    <w:p w:rsidR="00000000" w:rsidDel="00000000" w:rsidP="00000000" w:rsidRDefault="00000000" w:rsidRPr="00000000" w14:paraId="00000012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Tools of Mobilization: Participatory Rural Appraisal (PRA), Rapid Rural Assessment (RRA), Participatory Learning &amp; Action (PLA)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Role of Social Mobilizer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Barriers to community mobilization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Community Participation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Definitions and meaning of community participation.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Types of community participation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Community Development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Definitions, objectives, and explanation of community development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Principles and philosophy of community development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Process of community development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Approaches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/techniques of community development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Community Development Programs in Pakistan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Government sponsored programs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Non-government sponsored programs</w:t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Local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Government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Rule="auto"/>
        <w:ind w:left="840" w:hanging="42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Role of Social Workers in Community Development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Suggested Readings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.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Chaudhry, M. I.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Pakistani Society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Kifayat Academy, Karachi.</w:t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Craig, G., Mayo, M., Popple, K., Shaw, M. &amp; Taylor, M. (2011).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Community Development Reader: History, Themes, and Issues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Bristol: Policy Press.</w:t>
      </w:r>
    </w:p>
    <w:p w:rsidR="00000000" w:rsidDel="00000000" w:rsidP="00000000" w:rsidRDefault="00000000" w:rsidRPr="00000000" w14:paraId="00000025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Gilchrist, A., &amp; Taylor, M. (2011).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Short Guide to Community 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Bristol: Policy Press.</w:t>
      </w:r>
    </w:p>
    <w:p w:rsidR="00000000" w:rsidDel="00000000" w:rsidP="00000000" w:rsidRDefault="00000000" w:rsidRPr="00000000" w14:paraId="00000026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Gilchrist, A. (2009).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Well-connected Community: A Networking Approach to Community 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Policy Press. </w:t>
      </w:r>
    </w:p>
    <w:p w:rsidR="00000000" w:rsidDel="00000000" w:rsidP="00000000" w:rsidRDefault="00000000" w:rsidRPr="00000000" w14:paraId="00000027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Glisson, C. A., Dulmus, C. N. &amp; Sowers, K. M.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(2012).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Social Work Practice with Groups, Communities, and Organizations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New Jersey: Wiley.</w:t>
      </w:r>
    </w:p>
    <w:p w:rsidR="00000000" w:rsidDel="00000000" w:rsidP="00000000" w:rsidRDefault="00000000" w:rsidRPr="00000000" w14:paraId="00000028">
      <w:pPr>
        <w:shd w:fill="ffffff" w:val="clear"/>
        <w:ind w:left="720" w:right="-1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Kenny, S. (2007).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Developing communities for the Future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Melbourne: Thomson.</w:t>
      </w:r>
    </w:p>
    <w:p w:rsidR="00000000" w:rsidDel="00000000" w:rsidP="00000000" w:rsidRDefault="00000000" w:rsidRPr="00000000" w14:paraId="00000029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Khalid, M.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Social Work Theory &amp; Practice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Kifayat Academy, Karachi.</w:t>
      </w:r>
    </w:p>
    <w:p w:rsidR="00000000" w:rsidDel="00000000" w:rsidP="00000000" w:rsidRDefault="00000000" w:rsidRPr="00000000" w14:paraId="0000002A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Ledwith, M. (2015).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Community Development in Action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Bristol: Policy Press.</w:t>
      </w:r>
    </w:p>
    <w:p w:rsidR="00000000" w:rsidDel="00000000" w:rsidP="00000000" w:rsidRDefault="00000000" w:rsidRPr="00000000" w14:paraId="0000002B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Rafiq, S. Z.  (2006).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Community Development: Concepts and Practices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Peshawar: Saif Printing Press.</w:t>
      </w:r>
    </w:p>
    <w:p w:rsidR="00000000" w:rsidDel="00000000" w:rsidP="00000000" w:rsidRDefault="00000000" w:rsidRPr="00000000" w14:paraId="0000002C">
      <w:pPr>
        <w:shd w:fill="ffffff" w:val="clear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Rai, D. P.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Duggal, I. &amp; Singh, Y. K. (2007).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Community 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New Delhi: Shree Publishing.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121.52.159.155:8000/cgi-bin/koha/opac-search.pl?q=au:Glisson,%20Charles." TargetMode="External"/><Relationship Id="rId7" Type="http://schemas.openxmlformats.org/officeDocument/2006/relationships/hyperlink" Target="http://121.52.159.155:8000/cgi-bin/koha/opac-search.pl?q=au:Rai,%20D.P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